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hd w:val="clear" w:color="auto" w:fill="FFFFFF"/>
        <w:spacing w:before="300" w:after="300" w:line="240" w:lineRule="auto"/>
        <w:outlineLvl w:val="0"/>
        <w:rPr>
          <w:rFonts w:ascii="Segoe UI" w:eastAsia="Times New Roman" w:hAnsi="Segoe UI" w:cs="Segoe UI"/>
          <w:b/>
          <w:bCs/>
          <w:color w:val="444444"/>
          <w:kern w:val="36"/>
          <w:sz w:val="54"/>
          <w:szCs w:val="54"/>
          <w:lang w:eastAsia="en-GB"/>
        </w:rPr>
      </w:pPr>
      <w:r>
        <w:rPr>
          <w:rFonts w:ascii="Segoe UI" w:eastAsia="Times New Roman" w:hAnsi="Segoe UI" w:cs="Segoe UI"/>
          <w:b/>
          <w:bCs/>
          <w:color w:val="0A2540"/>
          <w:lang w:eastAsia="en-GB"/>
        </w:rPr>
        <w:t>Our Sa</w:t>
      </w:r>
      <w:bookmarkStart w:id="0" w:name="_GoBack"/>
      <w:bookmarkEnd w:id="0"/>
      <w:r>
        <w:rPr>
          <w:rFonts w:ascii="Segoe UI" w:eastAsia="Times New Roman" w:hAnsi="Segoe UI" w:cs="Segoe UI"/>
          <w:b/>
          <w:bCs/>
          <w:color w:val="0A2540"/>
          <w:lang w:eastAsia="en-GB"/>
        </w:rPr>
        <w:t>feguarding Statement</w:t>
      </w:r>
    </w:p>
    <w:p>
      <w:pPr>
        <w:shd w:val="clear" w:color="auto" w:fill="FFFFFF"/>
        <w:spacing w:before="225" w:after="225" w:line="240" w:lineRule="auto"/>
        <w:jc w:val="both"/>
        <w:rPr>
          <w:rFonts w:ascii="Segoe UI" w:eastAsia="Times New Roman" w:hAnsi="Segoe UI" w:cs="Segoe UI"/>
          <w:color w:val="0A2540"/>
          <w:lang w:eastAsia="en-GB"/>
        </w:rPr>
      </w:pPr>
      <w:r>
        <w:rPr>
          <w:rFonts w:ascii="Segoe UI" w:eastAsia="Times New Roman" w:hAnsi="Segoe UI" w:cs="Segoe UI"/>
          <w:color w:val="0A2540"/>
          <w:lang w:eastAsia="en-GB"/>
        </w:rPr>
        <w:t>Moorbrook School is committed to providing a </w:t>
      </w:r>
      <w:r>
        <w:rPr>
          <w:rFonts w:ascii="Segoe UI" w:eastAsia="Times New Roman" w:hAnsi="Segoe UI" w:cs="Segoe UI"/>
          <w:b/>
          <w:bCs/>
          <w:color w:val="0A2540"/>
          <w:lang w:eastAsia="en-GB"/>
        </w:rPr>
        <w:t>safe and secure</w:t>
      </w:r>
      <w:r>
        <w:rPr>
          <w:rFonts w:ascii="Segoe UI" w:eastAsia="Times New Roman" w:hAnsi="Segoe UI" w:cs="Segoe UI"/>
          <w:color w:val="0A2540"/>
          <w:lang w:eastAsia="en-GB"/>
        </w:rPr>
        <w:t> environment for students, staff and visitors and promoting a climate where children and adults will </w:t>
      </w:r>
      <w:r>
        <w:rPr>
          <w:rFonts w:ascii="Segoe UI" w:eastAsia="Times New Roman" w:hAnsi="Segoe UI" w:cs="Segoe UI"/>
          <w:b/>
          <w:bCs/>
          <w:color w:val="0A2540"/>
          <w:lang w:eastAsia="en-GB"/>
        </w:rPr>
        <w:t>feel confident about sharing any concerns</w:t>
      </w:r>
      <w:r>
        <w:rPr>
          <w:rFonts w:ascii="Segoe UI" w:eastAsia="Times New Roman" w:hAnsi="Segoe UI" w:cs="Segoe UI"/>
          <w:color w:val="0A2540"/>
          <w:lang w:eastAsia="en-GB"/>
        </w:rPr>
        <w:t> they may have about their own safety or the well-being of others.</w:t>
      </w:r>
    </w:p>
    <w:p>
      <w:pPr>
        <w:shd w:val="clear" w:color="auto" w:fill="FFFFFF"/>
        <w:spacing w:before="225" w:after="225" w:line="240" w:lineRule="auto"/>
        <w:jc w:val="both"/>
        <w:rPr>
          <w:rFonts w:ascii="Segoe UI" w:eastAsia="Times New Roman" w:hAnsi="Segoe UI" w:cs="Segoe UI"/>
          <w:color w:val="0A2540"/>
          <w:lang w:eastAsia="en-GB"/>
        </w:rPr>
      </w:pPr>
      <w:r>
        <w:rPr>
          <w:rFonts w:ascii="Segoe UI" w:eastAsia="Times New Roman" w:hAnsi="Segoe UI" w:cs="Segoe UI"/>
          <w:color w:val="0A2540"/>
          <w:lang w:eastAsia="en-GB"/>
        </w:rPr>
        <w:t>We are committed to the vital contribution all Governors and staff make to ensuring the safeguarding of our pupils remains a priority. We aim to ensure that child protection concerns and referrals are handled </w:t>
      </w:r>
      <w:r>
        <w:rPr>
          <w:rFonts w:ascii="Segoe UI" w:eastAsia="Times New Roman" w:hAnsi="Segoe UI" w:cs="Segoe UI"/>
          <w:b/>
          <w:bCs/>
          <w:color w:val="0A2540"/>
          <w:lang w:eastAsia="en-GB"/>
        </w:rPr>
        <w:t>sensitively, professionally </w:t>
      </w:r>
      <w:r>
        <w:rPr>
          <w:rFonts w:ascii="Segoe UI" w:eastAsia="Times New Roman" w:hAnsi="Segoe UI" w:cs="Segoe UI"/>
          <w:color w:val="0A2540"/>
          <w:lang w:eastAsia="en-GB"/>
        </w:rPr>
        <w:t>and in ways that </w:t>
      </w:r>
      <w:r>
        <w:rPr>
          <w:rFonts w:ascii="Segoe UI" w:eastAsia="Times New Roman" w:hAnsi="Segoe UI" w:cs="Segoe UI"/>
          <w:b/>
          <w:bCs/>
          <w:color w:val="0A2540"/>
          <w:lang w:eastAsia="en-GB"/>
        </w:rPr>
        <w:t>support the specific needs of the individual child</w:t>
      </w:r>
      <w:r>
        <w:rPr>
          <w:rFonts w:ascii="Segoe UI" w:eastAsia="Times New Roman" w:hAnsi="Segoe UI" w:cs="Segoe UI"/>
          <w:color w:val="0A2540"/>
          <w:lang w:eastAsia="en-GB"/>
        </w:rPr>
        <w:t>.</w:t>
      </w:r>
    </w:p>
    <w:p>
      <w:pPr>
        <w:shd w:val="clear" w:color="auto" w:fill="FFFFFF"/>
        <w:spacing w:before="225" w:after="225" w:line="240" w:lineRule="auto"/>
        <w:jc w:val="both"/>
        <w:rPr>
          <w:rFonts w:ascii="Segoe UI" w:eastAsia="Times New Roman" w:hAnsi="Segoe UI" w:cs="Segoe UI"/>
          <w:color w:val="0A2540"/>
          <w:lang w:eastAsia="en-GB"/>
        </w:rPr>
      </w:pPr>
      <w:r>
        <w:rPr>
          <w:rFonts w:ascii="Segoe UI" w:eastAsia="Times New Roman" w:hAnsi="Segoe UI" w:cs="Segoe UI"/>
          <w:color w:val="0A2540"/>
          <w:lang w:eastAsia="en-GB"/>
        </w:rPr>
        <w:t>Through providing a </w:t>
      </w:r>
      <w:r>
        <w:rPr>
          <w:rFonts w:ascii="Segoe UI" w:eastAsia="Times New Roman" w:hAnsi="Segoe UI" w:cs="Segoe UI"/>
          <w:b/>
          <w:bCs/>
          <w:color w:val="0A2540"/>
          <w:lang w:eastAsia="en-GB"/>
        </w:rPr>
        <w:t>caring, safe and stimulating environment </w:t>
      </w:r>
      <w:r>
        <w:rPr>
          <w:rFonts w:ascii="Segoe UI" w:eastAsia="Times New Roman" w:hAnsi="Segoe UI" w:cs="Segoe UI"/>
          <w:color w:val="0A2540"/>
          <w:lang w:eastAsia="en-GB"/>
        </w:rPr>
        <w:t>which promotes the social, physical and moral development of all our students, we aim to foster an atmosphere of trust, respect and security.</w:t>
      </w:r>
    </w:p>
    <w:p>
      <w:pPr>
        <w:shd w:val="clear" w:color="auto" w:fill="FFFFFF"/>
        <w:spacing w:before="225" w:after="225" w:line="240" w:lineRule="auto"/>
        <w:jc w:val="both"/>
        <w:rPr>
          <w:rFonts w:ascii="Segoe UI" w:eastAsia="Times New Roman" w:hAnsi="Segoe UI" w:cs="Segoe UI"/>
          <w:color w:val="0A2540"/>
          <w:lang w:eastAsia="en-GB"/>
        </w:rPr>
      </w:pPr>
      <w:r>
        <w:rPr>
          <w:rFonts w:ascii="Segoe UI" w:eastAsia="Times New Roman" w:hAnsi="Segoe UI" w:cs="Segoe UI"/>
          <w:color w:val="0A2540"/>
          <w:lang w:eastAsia="en-GB"/>
        </w:rPr>
        <w:t>To ensure that all pupils are safe, we work in conjunction with partnership agencies, staff, parents, visitors and members of the community to support our safeguarding procedures. We take our responsibilities for safeguarding children in our care extremely seriously. </w:t>
      </w:r>
    </w:p>
    <w:p>
      <w:pPr>
        <w:shd w:val="clear" w:color="auto" w:fill="FFFFFF"/>
        <w:spacing w:before="225" w:after="225" w:line="240" w:lineRule="auto"/>
        <w:jc w:val="both"/>
        <w:rPr>
          <w:rFonts w:ascii="Segoe UI" w:eastAsia="Times New Roman" w:hAnsi="Segoe UI" w:cs="Segoe UI"/>
          <w:color w:val="0A2540"/>
          <w:lang w:eastAsia="en-GB"/>
        </w:rPr>
      </w:pPr>
      <w:r>
        <w:rPr>
          <w:rFonts w:ascii="Segoe UI" w:eastAsia="Times New Roman" w:hAnsi="Segoe UI" w:cs="Segoe UI"/>
          <w:b/>
          <w:bCs/>
          <w:color w:val="0A2540"/>
          <w:lang w:eastAsia="en-GB"/>
        </w:rPr>
        <w:t>Keeping Children Safe in Education - Government guidance</w:t>
      </w:r>
    </w:p>
    <w:p>
      <w:pPr>
        <w:shd w:val="clear" w:color="auto" w:fill="FFFFFF"/>
        <w:spacing w:before="225" w:after="225" w:line="240" w:lineRule="auto"/>
        <w:jc w:val="both"/>
        <w:rPr>
          <w:rFonts w:ascii="Segoe UI" w:eastAsia="Times New Roman" w:hAnsi="Segoe UI" w:cs="Segoe UI"/>
          <w:color w:val="0A2540"/>
          <w:lang w:eastAsia="en-GB"/>
        </w:rPr>
      </w:pPr>
      <w:r>
        <w:rPr>
          <w:rFonts w:ascii="Segoe UI" w:eastAsia="Times New Roman" w:hAnsi="Segoe UI" w:cs="Segoe UI"/>
          <w:color w:val="0A2540"/>
          <w:lang w:eastAsia="en-GB"/>
        </w:rPr>
        <w:t>The government publishes Keeping Children Safe in Education: </w:t>
      </w:r>
      <w:hyperlink r:id="rId5" w:history="1">
        <w:r>
          <w:rPr>
            <w:rFonts w:ascii="Segoe UI" w:eastAsia="Times New Roman" w:hAnsi="Segoe UI" w:cs="Segoe UI"/>
            <w:color w:val="808080"/>
            <w:u w:val="single"/>
            <w:lang w:eastAsia="en-GB"/>
          </w:rPr>
          <w:t>Statutory guidance for schools and colleges on safeguarding children and safer recruitment </w:t>
        </w:r>
      </w:hyperlink>
    </w:p>
    <w:p>
      <w:pPr>
        <w:shd w:val="clear" w:color="auto" w:fill="FFFFFF"/>
        <w:spacing w:before="225" w:after="225" w:line="240" w:lineRule="auto"/>
        <w:jc w:val="both"/>
        <w:rPr>
          <w:rFonts w:ascii="Segoe UI" w:eastAsia="Times New Roman" w:hAnsi="Segoe UI" w:cs="Segoe UI"/>
          <w:color w:val="0A2540"/>
          <w:lang w:eastAsia="en-GB"/>
        </w:rPr>
      </w:pPr>
      <w:r>
        <w:rPr>
          <w:rFonts w:ascii="Segoe UI" w:eastAsia="Times New Roman" w:hAnsi="Segoe UI" w:cs="Segoe UI"/>
          <w:b/>
          <w:bCs/>
          <w:color w:val="0A2540"/>
          <w:lang w:eastAsia="en-GB"/>
        </w:rPr>
        <w:t>British Values</w:t>
      </w:r>
    </w:p>
    <w:p>
      <w:pPr>
        <w:shd w:val="clear" w:color="auto" w:fill="FFFFFF"/>
        <w:spacing w:before="225" w:after="225" w:line="240" w:lineRule="auto"/>
        <w:jc w:val="both"/>
        <w:rPr>
          <w:rFonts w:ascii="Segoe UI" w:eastAsia="Times New Roman" w:hAnsi="Segoe UI" w:cs="Segoe UI"/>
          <w:color w:val="0A2540"/>
          <w:lang w:eastAsia="en-GB"/>
        </w:rPr>
      </w:pPr>
      <w:r>
        <w:rPr>
          <w:rFonts w:ascii="Segoe UI" w:eastAsia="Times New Roman" w:hAnsi="Segoe UI" w:cs="Segoe UI"/>
          <w:color w:val="0A2540"/>
          <w:lang w:eastAsia="en-GB"/>
        </w:rPr>
        <w:t xml:space="preserve">At Moorbrook we promote democracy, the rule of law, individual liberty, and mutual respect and tolerance of those with different faiths and beliefs, and for those without faith. </w:t>
      </w:r>
    </w:p>
    <w:p>
      <w:pPr>
        <w:shd w:val="clear" w:color="auto" w:fill="FFFFFF"/>
        <w:spacing w:before="225" w:after="225" w:line="240" w:lineRule="auto"/>
        <w:jc w:val="both"/>
        <w:rPr>
          <w:rFonts w:ascii="Segoe UI" w:eastAsia="Times New Roman" w:hAnsi="Segoe UI" w:cs="Segoe UI"/>
          <w:color w:val="0A2540"/>
          <w:lang w:eastAsia="en-GB"/>
        </w:rPr>
      </w:pPr>
      <w:r>
        <w:rPr>
          <w:rFonts w:ascii="Segoe UI" w:eastAsia="Times New Roman" w:hAnsi="Segoe UI" w:cs="Segoe UI"/>
          <w:color w:val="0A2540"/>
          <w:lang w:eastAsia="en-GB"/>
        </w:rPr>
        <w:t>Mutual respect and tolerance of those with different faiths and beliefs is delivered and discussed in Topic lessons. Views are challenged and supported by knowledgeable and caring staff who care deeply about respect and tolerance. Democracy is evident across the school as students vote their peers on to the student council. Student voice is strong and we often act or make changes to aspects of the school simply by listening to the student council and in doing so, show them that their voices are heard. Behaviour in Moorbrook is good and, through our PSHE programme, our students know and respect the law. </w:t>
      </w:r>
    </w:p>
    <w:p>
      <w:pPr>
        <w:shd w:val="clear" w:color="auto" w:fill="FFFFFF"/>
        <w:spacing w:before="225" w:after="225" w:line="240" w:lineRule="auto"/>
        <w:rPr>
          <w:rFonts w:ascii="Segoe UI" w:eastAsia="Times New Roman" w:hAnsi="Segoe UI" w:cs="Segoe UI"/>
          <w:b/>
          <w:bCs/>
          <w:color w:val="0A2540"/>
          <w:lang w:eastAsia="en-GB"/>
        </w:rPr>
      </w:pPr>
    </w:p>
    <w:p>
      <w:pPr>
        <w:shd w:val="clear" w:color="auto" w:fill="FFFFFF"/>
        <w:spacing w:before="225" w:after="225" w:line="240" w:lineRule="auto"/>
        <w:rPr>
          <w:rFonts w:ascii="Segoe UI" w:eastAsia="Times New Roman" w:hAnsi="Segoe UI" w:cs="Segoe UI"/>
          <w:b/>
          <w:bCs/>
          <w:color w:val="0A2540"/>
          <w:lang w:eastAsia="en-GB"/>
        </w:rPr>
      </w:pPr>
    </w:p>
    <w:p>
      <w:pPr>
        <w:shd w:val="clear" w:color="auto" w:fill="FFFFFF"/>
        <w:spacing w:before="225" w:after="225" w:line="240" w:lineRule="auto"/>
        <w:rPr>
          <w:rFonts w:ascii="Segoe UI" w:eastAsia="Times New Roman" w:hAnsi="Segoe UI" w:cs="Segoe UI"/>
          <w:b/>
          <w:bCs/>
          <w:color w:val="0A2540"/>
          <w:lang w:eastAsia="en-GB"/>
        </w:rPr>
      </w:pPr>
      <w:r>
        <w:rPr>
          <w:rFonts w:ascii="Segoe UI" w:eastAsia="Times New Roman" w:hAnsi="Segoe UI" w:cs="Segoe UI"/>
          <w:b/>
          <w:bCs/>
          <w:color w:val="0A2540"/>
          <w:lang w:eastAsia="en-GB"/>
        </w:rPr>
        <w:t>Prevent Duty</w:t>
      </w:r>
    </w:p>
    <w:p>
      <w:pPr>
        <w:shd w:val="clear" w:color="auto" w:fill="FFFFFF"/>
        <w:spacing w:before="225" w:after="225" w:line="240" w:lineRule="auto"/>
        <w:rPr>
          <w:rFonts w:ascii="Segoe UI" w:eastAsia="Times New Roman" w:hAnsi="Segoe UI" w:cs="Segoe UI"/>
          <w:color w:val="0A2540"/>
          <w:lang w:eastAsia="en-GB"/>
        </w:rPr>
      </w:pPr>
      <w:r>
        <w:rPr>
          <w:rFonts w:ascii="Segoe UI" w:eastAsia="Times New Roman" w:hAnsi="Segoe UI" w:cs="Segoe UI"/>
          <w:color w:val="0A2540"/>
          <w:lang w:eastAsia="en-GB"/>
        </w:rPr>
        <w:t xml:space="preserve">Moorbrook staff have been trained on their Prevent duty directly by the police. </w:t>
      </w:r>
    </w:p>
    <w:p>
      <w:pPr>
        <w:shd w:val="clear" w:color="auto" w:fill="FFFFFF"/>
        <w:spacing w:before="225" w:after="225" w:line="240" w:lineRule="auto"/>
        <w:rPr>
          <w:rFonts w:ascii="Segoe UI" w:eastAsia="Times New Roman" w:hAnsi="Segoe UI" w:cs="Segoe UI"/>
          <w:color w:val="0A2540"/>
          <w:lang w:eastAsia="en-GB"/>
        </w:rPr>
      </w:pPr>
      <w:r>
        <w:rPr>
          <w:rFonts w:ascii="Segoe UI" w:eastAsia="Times New Roman" w:hAnsi="Segoe UI" w:cs="Segoe UI"/>
          <w:color w:val="0A2540"/>
          <w:lang w:eastAsia="en-GB"/>
        </w:rPr>
        <w:t>The Prevent duty has two specific strategic objectives to safeguard our students against radicalisation, extremism and any actions or beliefs that are contrary to British Values and our ethos.</w:t>
      </w:r>
    </w:p>
    <w:p>
      <w:pPr>
        <w:numPr>
          <w:ilvl w:val="0"/>
          <w:numId w:val="1"/>
        </w:numPr>
        <w:shd w:val="clear" w:color="auto" w:fill="FFFFFF"/>
        <w:spacing w:before="100" w:beforeAutospacing="1" w:after="100" w:afterAutospacing="1" w:line="240" w:lineRule="auto"/>
        <w:rPr>
          <w:rFonts w:ascii="Segoe UI" w:eastAsia="Times New Roman" w:hAnsi="Segoe UI" w:cs="Segoe UI"/>
          <w:color w:val="0A2540"/>
          <w:lang w:eastAsia="en-GB"/>
        </w:rPr>
      </w:pPr>
      <w:r>
        <w:rPr>
          <w:rFonts w:ascii="Segoe UI" w:eastAsia="Times New Roman" w:hAnsi="Segoe UI" w:cs="Segoe UI"/>
          <w:color w:val="0A2540"/>
          <w:lang w:eastAsia="en-GB"/>
        </w:rPr>
        <w:lastRenderedPageBreak/>
        <w:t>Respond to the ideological challenge of terrorism and the threat we face from those who promote it.</w:t>
      </w:r>
    </w:p>
    <w:p>
      <w:pPr>
        <w:numPr>
          <w:ilvl w:val="0"/>
          <w:numId w:val="1"/>
        </w:numPr>
        <w:shd w:val="clear" w:color="auto" w:fill="FFFFFF"/>
        <w:spacing w:before="100" w:beforeAutospacing="1" w:after="100" w:afterAutospacing="1" w:line="240" w:lineRule="auto"/>
        <w:rPr>
          <w:rFonts w:ascii="Segoe UI" w:eastAsia="Times New Roman" w:hAnsi="Segoe UI" w:cs="Segoe UI"/>
          <w:color w:val="0A2540"/>
          <w:lang w:eastAsia="en-GB"/>
        </w:rPr>
      </w:pPr>
      <w:r>
        <w:rPr>
          <w:rFonts w:ascii="Segoe UI" w:eastAsia="Times New Roman" w:hAnsi="Segoe UI" w:cs="Segoe UI"/>
          <w:color w:val="0A2540"/>
          <w:lang w:eastAsia="en-GB"/>
        </w:rPr>
        <w:t>Prevent people from being drawn into terrorism and ensure that they are given appropriate advice and support.</w:t>
      </w:r>
    </w:p>
    <w:p>
      <w:pPr>
        <w:shd w:val="clear" w:color="auto" w:fill="FFFFFF"/>
        <w:spacing w:before="225" w:after="225" w:line="240" w:lineRule="auto"/>
        <w:rPr>
          <w:rFonts w:ascii="Segoe UI" w:eastAsia="Times New Roman" w:hAnsi="Segoe UI" w:cs="Segoe UI"/>
          <w:color w:val="0A2540"/>
          <w:lang w:eastAsia="en-GB"/>
        </w:rPr>
      </w:pPr>
      <w:r>
        <w:rPr>
          <w:rFonts w:ascii="Segoe UI" w:eastAsia="Times New Roman" w:hAnsi="Segoe UI" w:cs="Segoe UI"/>
          <w:color w:val="0A2540"/>
          <w:lang w:eastAsia="en-GB"/>
        </w:rPr>
        <w:t>We oppose all forms of extremism. We define ‘extremism’ as vocal or active opposition to fundamental British values, including democracy, the rule of law, individual liberty and mutual respect and tolerance of different faiths and beliefs.</w:t>
      </w:r>
    </w:p>
    <w:p>
      <w:pPr>
        <w:shd w:val="clear" w:color="auto" w:fill="FFFFFF"/>
        <w:spacing w:before="225" w:after="225" w:line="240" w:lineRule="auto"/>
        <w:rPr>
          <w:rFonts w:ascii="Segoe UI" w:eastAsia="Times New Roman" w:hAnsi="Segoe UI" w:cs="Segoe UI"/>
          <w:color w:val="0A2540"/>
          <w:lang w:eastAsia="en-GB"/>
        </w:rPr>
      </w:pPr>
      <w:r>
        <w:rPr>
          <w:rFonts w:ascii="Segoe UI" w:eastAsia="Times New Roman" w:hAnsi="Segoe UI" w:cs="Segoe UI"/>
          <w:color w:val="0A2540"/>
          <w:lang w:eastAsia="en-GB"/>
        </w:rPr>
        <w:t>Our Safeguarding team work closely with the counter-terrorism referral programme “Channel”.  Channel is a multi-agency approach to identify and provide support to individuals who are at risk of being drawn into terrorism.</w:t>
      </w:r>
    </w:p>
    <w:p>
      <w:pPr>
        <w:shd w:val="clear" w:color="auto" w:fill="FFFFFF"/>
        <w:spacing w:before="225" w:after="225" w:line="240" w:lineRule="auto"/>
        <w:rPr>
          <w:rFonts w:ascii="Segoe UI" w:eastAsia="Times New Roman" w:hAnsi="Segoe UI" w:cs="Segoe UI"/>
          <w:color w:val="0A2540"/>
          <w:lang w:eastAsia="en-GB"/>
        </w:rPr>
      </w:pPr>
      <w:r>
        <w:rPr>
          <w:rFonts w:ascii="Segoe UI" w:eastAsia="Times New Roman" w:hAnsi="Segoe UI" w:cs="Segoe UI"/>
          <w:color w:val="0A2540"/>
          <w:lang w:eastAsia="en-GB"/>
        </w:rPr>
        <w:t>The programme uses a multi-agency approach to protect vulnerable people by:</w:t>
      </w:r>
    </w:p>
    <w:p>
      <w:pPr>
        <w:numPr>
          <w:ilvl w:val="0"/>
          <w:numId w:val="2"/>
        </w:numPr>
        <w:shd w:val="clear" w:color="auto" w:fill="FFFFFF"/>
        <w:spacing w:before="100" w:beforeAutospacing="1" w:after="100" w:afterAutospacing="1" w:line="240" w:lineRule="auto"/>
        <w:rPr>
          <w:rFonts w:ascii="Segoe UI" w:eastAsia="Times New Roman" w:hAnsi="Segoe UI" w:cs="Segoe UI"/>
          <w:color w:val="0A2540"/>
          <w:lang w:eastAsia="en-GB"/>
        </w:rPr>
      </w:pPr>
      <w:r>
        <w:rPr>
          <w:rFonts w:ascii="Segoe UI" w:eastAsia="Times New Roman" w:hAnsi="Segoe UI" w:cs="Segoe UI"/>
          <w:color w:val="0A2540"/>
          <w:lang w:eastAsia="en-GB"/>
        </w:rPr>
        <w:t>identifying individuals at risk</w:t>
      </w:r>
    </w:p>
    <w:p>
      <w:pPr>
        <w:numPr>
          <w:ilvl w:val="0"/>
          <w:numId w:val="2"/>
        </w:numPr>
        <w:shd w:val="clear" w:color="auto" w:fill="FFFFFF"/>
        <w:spacing w:before="100" w:beforeAutospacing="1" w:after="100" w:afterAutospacing="1" w:line="240" w:lineRule="auto"/>
        <w:rPr>
          <w:rFonts w:ascii="Segoe UI" w:eastAsia="Times New Roman" w:hAnsi="Segoe UI" w:cs="Segoe UI"/>
          <w:color w:val="0A2540"/>
          <w:lang w:eastAsia="en-GB"/>
        </w:rPr>
      </w:pPr>
      <w:r>
        <w:rPr>
          <w:rFonts w:ascii="Segoe UI" w:eastAsia="Times New Roman" w:hAnsi="Segoe UI" w:cs="Segoe UI"/>
          <w:color w:val="0A2540"/>
          <w:lang w:eastAsia="en-GB"/>
        </w:rPr>
        <w:t>assessing the nature and extent of that risk                           </w:t>
      </w:r>
    </w:p>
    <w:p>
      <w:pPr>
        <w:numPr>
          <w:ilvl w:val="0"/>
          <w:numId w:val="2"/>
        </w:numPr>
        <w:shd w:val="clear" w:color="auto" w:fill="FFFFFF"/>
        <w:spacing w:before="100" w:beforeAutospacing="1" w:after="100" w:afterAutospacing="1" w:line="240" w:lineRule="auto"/>
        <w:rPr>
          <w:rFonts w:ascii="Segoe UI" w:eastAsia="Times New Roman" w:hAnsi="Segoe UI" w:cs="Segoe UI"/>
          <w:color w:val="0A2540"/>
          <w:lang w:eastAsia="en-GB"/>
        </w:rPr>
      </w:pPr>
      <w:r>
        <w:rPr>
          <w:rFonts w:ascii="Segoe UI" w:eastAsia="Times New Roman" w:hAnsi="Segoe UI" w:cs="Segoe UI"/>
          <w:color w:val="0A2540"/>
          <w:lang w:eastAsia="en-GB"/>
        </w:rPr>
        <w:t>developing the most appropriate support plan for the individuals concerned.</w:t>
      </w:r>
    </w:p>
    <w:p>
      <w:pPr>
        <w:shd w:val="clear" w:color="auto" w:fill="FFFFFF"/>
        <w:spacing w:before="225" w:after="225" w:line="240" w:lineRule="auto"/>
        <w:rPr>
          <w:rFonts w:ascii="Segoe UI" w:eastAsia="Times New Roman" w:hAnsi="Segoe UI" w:cs="Segoe UI"/>
          <w:color w:val="0A2540"/>
          <w:lang w:eastAsia="en-GB"/>
        </w:rPr>
      </w:pPr>
      <w:r>
        <w:rPr>
          <w:rFonts w:ascii="Segoe UI" w:eastAsia="Times New Roman" w:hAnsi="Segoe UI" w:cs="Segoe UI"/>
          <w:b/>
          <w:bCs/>
          <w:color w:val="0A2540"/>
          <w:lang w:eastAsia="en-GB"/>
        </w:rPr>
        <w:t>The Prevent Programme</w:t>
      </w:r>
    </w:p>
    <w:p>
      <w:pPr>
        <w:shd w:val="clear" w:color="auto" w:fill="FFFFFF"/>
        <w:spacing w:before="225" w:after="225" w:line="240" w:lineRule="auto"/>
        <w:rPr>
          <w:rFonts w:ascii="Segoe UI" w:eastAsia="Times New Roman" w:hAnsi="Segoe UI" w:cs="Segoe UI"/>
          <w:color w:val="0A2540"/>
          <w:lang w:eastAsia="en-GB"/>
        </w:rPr>
      </w:pPr>
      <w:r>
        <w:rPr>
          <w:rFonts w:ascii="Segoe UI" w:eastAsia="Times New Roman" w:hAnsi="Segoe UI" w:cs="Segoe UI"/>
          <w:color w:val="0A2540"/>
          <w:lang w:eastAsia="en-GB"/>
        </w:rPr>
        <w:t>Government guidance is used to underpin all of our work at Moorbrook. The following documents have been consulted to aid Safeguarding:</w:t>
      </w:r>
    </w:p>
    <w:p>
      <w:pPr>
        <w:shd w:val="clear" w:color="auto" w:fill="FFFFFF"/>
        <w:spacing w:before="225" w:after="225" w:line="240" w:lineRule="auto"/>
        <w:rPr>
          <w:rFonts w:ascii="Segoe UI" w:eastAsia="Times New Roman" w:hAnsi="Segoe UI" w:cs="Segoe UI"/>
          <w:color w:val="0A2540"/>
          <w:lang w:eastAsia="en-GB"/>
        </w:rPr>
      </w:pPr>
      <w:hyperlink r:id="rId6" w:history="1">
        <w:r>
          <w:rPr>
            <w:rFonts w:ascii="Segoe UI" w:eastAsia="Times New Roman" w:hAnsi="Segoe UI" w:cs="Segoe UI"/>
            <w:color w:val="808080"/>
            <w:u w:val="single"/>
            <w:lang w:eastAsia="en-GB"/>
          </w:rPr>
          <w:t>Prevent for Schools</w:t>
        </w:r>
      </w:hyperlink>
    </w:p>
    <w:p>
      <w:pPr>
        <w:shd w:val="clear" w:color="auto" w:fill="FFFFFF"/>
        <w:spacing w:before="225" w:after="225" w:line="240" w:lineRule="auto"/>
        <w:rPr>
          <w:rFonts w:ascii="Segoe UI" w:eastAsia="Times New Roman" w:hAnsi="Segoe UI" w:cs="Segoe UI"/>
          <w:color w:val="0A2540"/>
          <w:lang w:eastAsia="en-GB"/>
        </w:rPr>
      </w:pPr>
      <w:hyperlink r:id="rId7" w:history="1">
        <w:r>
          <w:rPr>
            <w:rFonts w:ascii="Segoe UI" w:eastAsia="Times New Roman" w:hAnsi="Segoe UI" w:cs="Segoe UI"/>
            <w:color w:val="808080"/>
            <w:u w:val="single"/>
            <w:lang w:eastAsia="en-GB"/>
          </w:rPr>
          <w:t>Prevent Strategy</w:t>
        </w:r>
      </w:hyperlink>
    </w:p>
    <w:p>
      <w:pPr>
        <w:shd w:val="clear" w:color="auto" w:fill="FFFFFF"/>
        <w:spacing w:before="225" w:after="225" w:line="240" w:lineRule="auto"/>
        <w:rPr>
          <w:rFonts w:ascii="Segoe UI" w:eastAsia="Times New Roman" w:hAnsi="Segoe UI" w:cs="Segoe UI"/>
          <w:color w:val="0A2540"/>
          <w:lang w:eastAsia="en-GB"/>
        </w:rPr>
      </w:pPr>
      <w:hyperlink r:id="rId8" w:history="1">
        <w:r>
          <w:rPr>
            <w:rFonts w:ascii="Segoe UI" w:eastAsia="Times New Roman" w:hAnsi="Segoe UI" w:cs="Segoe UI"/>
            <w:color w:val="808080"/>
            <w:u w:val="single"/>
            <w:lang w:eastAsia="en-GB"/>
          </w:rPr>
          <w:t>Prevent Risk Assessment</w:t>
        </w:r>
      </w:hyperlink>
      <w:r>
        <w:rPr>
          <w:rFonts w:ascii="Segoe UI" w:eastAsia="Times New Roman" w:hAnsi="Segoe UI" w:cs="Segoe UI"/>
          <w:color w:val="0A2540"/>
          <w:lang w:eastAsia="en-GB"/>
        </w:rPr>
        <w:t> </w:t>
      </w:r>
    </w:p>
    <w:p>
      <w:pPr>
        <w:shd w:val="clear" w:color="auto" w:fill="FFFFFF"/>
        <w:spacing w:before="225" w:after="225" w:line="240" w:lineRule="auto"/>
        <w:rPr>
          <w:rFonts w:ascii="Segoe UI" w:eastAsia="Times New Roman" w:hAnsi="Segoe UI" w:cs="Segoe UI"/>
          <w:color w:val="0A2540"/>
          <w:lang w:eastAsia="en-GB"/>
        </w:rPr>
      </w:pPr>
      <w:r>
        <w:rPr>
          <w:rFonts w:ascii="Segoe UI" w:eastAsia="Times New Roman" w:hAnsi="Segoe UI" w:cs="Segoe UI"/>
          <w:b/>
          <w:bCs/>
          <w:color w:val="0A2540"/>
          <w:lang w:eastAsia="en-GB"/>
        </w:rPr>
        <w:t>Female Genital Mutilation</w:t>
      </w:r>
    </w:p>
    <w:p>
      <w:pPr>
        <w:shd w:val="clear" w:color="auto" w:fill="FFFFFF"/>
        <w:spacing w:before="225" w:after="225" w:line="240" w:lineRule="auto"/>
        <w:jc w:val="both"/>
        <w:rPr>
          <w:rFonts w:ascii="Segoe UI" w:eastAsia="Times New Roman" w:hAnsi="Segoe UI" w:cs="Segoe UI"/>
          <w:color w:val="0A2540"/>
          <w:lang w:eastAsia="en-GB"/>
        </w:rPr>
      </w:pPr>
      <w:r>
        <w:rPr>
          <w:rFonts w:ascii="Segoe UI" w:eastAsia="Times New Roman" w:hAnsi="Segoe UI" w:cs="Segoe UI"/>
          <w:color w:val="0A2540"/>
          <w:lang w:eastAsia="en-GB"/>
        </w:rPr>
        <w:t>Female genital mutilation (FGM) comprises all procedures involving partial or total removal of the external female genitalia or other injury to the female genital organs. It is illegal in the UK and a form of child abuse with long-lasting harmful consequences. Professionals in all agencies, and individuals and groups in relevant communities, need to be alert to the possibility of a girl being at risk of FGM, or already having suffered FGM.</w:t>
      </w:r>
    </w:p>
    <w:p>
      <w:pPr>
        <w:shd w:val="clear" w:color="auto" w:fill="FFFFFF"/>
        <w:spacing w:before="225" w:after="225" w:line="240" w:lineRule="auto"/>
        <w:jc w:val="both"/>
        <w:rPr>
          <w:rFonts w:ascii="Segoe UI" w:eastAsia="Times New Roman" w:hAnsi="Segoe UI" w:cs="Segoe UI"/>
          <w:color w:val="0A2540"/>
          <w:lang w:eastAsia="en-GB"/>
        </w:rPr>
      </w:pPr>
      <w:r>
        <w:rPr>
          <w:rFonts w:ascii="Segoe UI" w:eastAsia="Times New Roman" w:hAnsi="Segoe UI" w:cs="Segoe UI"/>
          <w:b/>
          <w:bCs/>
          <w:color w:val="0A2540"/>
          <w:lang w:eastAsia="en-GB"/>
        </w:rPr>
        <w:t>Child Sexual Exploitation</w:t>
      </w:r>
    </w:p>
    <w:p>
      <w:pPr>
        <w:shd w:val="clear" w:color="auto" w:fill="FFFFFF"/>
        <w:spacing w:before="225" w:after="225" w:line="240" w:lineRule="auto"/>
        <w:jc w:val="both"/>
        <w:rPr>
          <w:rFonts w:ascii="Segoe UI" w:eastAsia="Times New Roman" w:hAnsi="Segoe UI" w:cs="Segoe UI"/>
          <w:color w:val="0A2540"/>
          <w:lang w:eastAsia="en-GB"/>
        </w:rPr>
      </w:pPr>
      <w:r>
        <w:rPr>
          <w:rFonts w:ascii="Segoe UI" w:eastAsia="Times New Roman" w:hAnsi="Segoe UI" w:cs="Segoe UI"/>
          <w:color w:val="0A2540"/>
          <w:lang w:eastAsia="en-GB"/>
        </w:rPr>
        <w:t xml:space="preserve">Child sexual exploitation (CSE) involves exploitative situations, contexts and relationships where young people receive something (for example food, accommodation, drugs, alcohol, gifts, money or in some cases simply affection) as a result of engaging in sexual activities. Sexual exploitation can take many forms ranging from the seemingly ‘consensual’ relationship where sex is exchanged for affection or gifts, to serious organised crime by gangs and groups. What marks out exploitation is an imbalance of power in the relationship. The perpetrator always holds some kind of power over the victim which increases as the exploitative relationship develops. Sexual exploitation involves varying degrees of coercion, intimidation or enticement, including unwanted pressure from peers to have sex, sexual bullying including cyber bullying and grooming. However, it is also important to recognise that some young </w:t>
      </w:r>
      <w:r>
        <w:rPr>
          <w:rFonts w:ascii="Segoe UI" w:eastAsia="Times New Roman" w:hAnsi="Segoe UI" w:cs="Segoe UI"/>
          <w:color w:val="0A2540"/>
          <w:lang w:eastAsia="en-GB"/>
        </w:rPr>
        <w:lastRenderedPageBreak/>
        <w:t>people who are being sexually exploited do not exhibit any external signs of this abuse. Visit the NSPCC website for </w:t>
      </w:r>
      <w:hyperlink r:id="rId9" w:history="1">
        <w:r>
          <w:rPr>
            <w:rFonts w:ascii="Segoe UI" w:eastAsia="Times New Roman" w:hAnsi="Segoe UI" w:cs="Segoe UI"/>
            <w:color w:val="808080"/>
            <w:u w:val="single"/>
            <w:lang w:eastAsia="en-GB"/>
          </w:rPr>
          <w:t>more information about preventing abuse</w:t>
        </w:r>
      </w:hyperlink>
      <w:r>
        <w:rPr>
          <w:rFonts w:ascii="Segoe UI" w:eastAsia="Times New Roman" w:hAnsi="Segoe UI" w:cs="Segoe UI"/>
          <w:color w:val="0A2540"/>
          <w:lang w:eastAsia="en-GB"/>
        </w:rPr>
        <w:t>.</w:t>
      </w:r>
    </w:p>
    <w:p>
      <w:pPr>
        <w:shd w:val="clear" w:color="auto" w:fill="FFFFFF"/>
        <w:spacing w:before="225" w:after="225" w:line="240" w:lineRule="auto"/>
        <w:rPr>
          <w:rFonts w:ascii="Segoe UI" w:eastAsia="Times New Roman" w:hAnsi="Segoe UI" w:cs="Segoe UI"/>
          <w:color w:val="0A2540"/>
          <w:lang w:eastAsia="en-GB"/>
        </w:rPr>
      </w:pPr>
      <w:r>
        <w:rPr>
          <w:rFonts w:ascii="Segoe UI" w:eastAsia="Times New Roman" w:hAnsi="Segoe UI" w:cs="Segoe UI"/>
          <w:b/>
          <w:bCs/>
          <w:color w:val="0A2540"/>
          <w:lang w:eastAsia="en-GB"/>
        </w:rPr>
        <w:t>Specific Safeguarding Issues</w:t>
      </w:r>
    </w:p>
    <w:p>
      <w:pPr>
        <w:shd w:val="clear" w:color="auto" w:fill="FFFFFF"/>
        <w:spacing w:before="225" w:after="225" w:line="240" w:lineRule="auto"/>
        <w:jc w:val="both"/>
        <w:rPr>
          <w:rFonts w:ascii="Segoe UI" w:eastAsia="Times New Roman" w:hAnsi="Segoe UI" w:cs="Segoe UI"/>
          <w:color w:val="0A2540"/>
          <w:lang w:eastAsia="en-GB"/>
        </w:rPr>
      </w:pPr>
      <w:r>
        <w:rPr>
          <w:rFonts w:ascii="Segoe UI" w:eastAsia="Times New Roman" w:hAnsi="Segoe UI" w:cs="Segoe UI"/>
          <w:color w:val="0A2540"/>
          <w:lang w:eastAsia="en-GB"/>
        </w:rPr>
        <w:t>Expert and professional organisations are best placed to provide up-to-date guidance and practical support on specific safeguarding issues. Please visit </w:t>
      </w:r>
      <w:hyperlink r:id="rId10" w:history="1">
        <w:r>
          <w:rPr>
            <w:rFonts w:ascii="Segoe UI" w:eastAsia="Times New Roman" w:hAnsi="Segoe UI" w:cs="Segoe UI"/>
            <w:color w:val="808080"/>
            <w:u w:val="single"/>
            <w:lang w:eastAsia="en-GB"/>
          </w:rPr>
          <w:t>www.nspcc.org.uk</w:t>
        </w:r>
      </w:hyperlink>
      <w:r>
        <w:rPr>
          <w:rFonts w:ascii="Segoe UI" w:eastAsia="Times New Roman" w:hAnsi="Segoe UI" w:cs="Segoe UI"/>
          <w:color w:val="0A2540"/>
          <w:lang w:eastAsia="en-GB"/>
        </w:rPr>
        <w:t>. Also available is the government guidance on the issues listed below via </w:t>
      </w:r>
      <w:hyperlink r:id="rId11" w:history="1">
        <w:r>
          <w:rPr>
            <w:rFonts w:ascii="Segoe UI" w:eastAsia="Times New Roman" w:hAnsi="Segoe UI" w:cs="Segoe UI"/>
            <w:color w:val="808080"/>
            <w:u w:val="single"/>
            <w:lang w:eastAsia="en-GB"/>
          </w:rPr>
          <w:t>www.gov.uk</w:t>
        </w:r>
      </w:hyperlink>
    </w:p>
    <w:p>
      <w:pPr>
        <w:numPr>
          <w:ilvl w:val="0"/>
          <w:numId w:val="3"/>
        </w:numPr>
        <w:shd w:val="clear" w:color="auto" w:fill="FFFFFF"/>
        <w:spacing w:before="100" w:beforeAutospacing="1" w:after="100" w:afterAutospacing="1" w:line="240" w:lineRule="auto"/>
        <w:rPr>
          <w:rFonts w:ascii="Segoe UI" w:eastAsia="Times New Roman" w:hAnsi="Segoe UI" w:cs="Segoe UI"/>
          <w:color w:val="0A2540"/>
          <w:lang w:eastAsia="en-GB"/>
        </w:rPr>
      </w:pPr>
      <w:hyperlink r:id="rId12" w:history="1">
        <w:r>
          <w:rPr>
            <w:rFonts w:ascii="Segoe UI" w:eastAsia="Times New Roman" w:hAnsi="Segoe UI" w:cs="Segoe UI"/>
            <w:color w:val="808080"/>
            <w:u w:val="single"/>
            <w:lang w:eastAsia="en-GB"/>
          </w:rPr>
          <w:t>child missing from education</w:t>
        </w:r>
      </w:hyperlink>
    </w:p>
    <w:p>
      <w:pPr>
        <w:numPr>
          <w:ilvl w:val="0"/>
          <w:numId w:val="3"/>
        </w:numPr>
        <w:shd w:val="clear" w:color="auto" w:fill="FFFFFF"/>
        <w:spacing w:before="100" w:beforeAutospacing="1" w:after="100" w:afterAutospacing="1" w:line="240" w:lineRule="auto"/>
        <w:rPr>
          <w:rFonts w:ascii="Segoe UI" w:eastAsia="Times New Roman" w:hAnsi="Segoe UI" w:cs="Segoe UI"/>
          <w:color w:val="0A2540"/>
          <w:lang w:eastAsia="en-GB"/>
        </w:rPr>
      </w:pPr>
      <w:hyperlink r:id="rId13" w:history="1">
        <w:r>
          <w:rPr>
            <w:rFonts w:ascii="Segoe UI" w:eastAsia="Times New Roman" w:hAnsi="Segoe UI" w:cs="Segoe UI"/>
            <w:color w:val="808080"/>
            <w:u w:val="single"/>
            <w:lang w:eastAsia="en-GB"/>
          </w:rPr>
          <w:t>child missing from home or care</w:t>
        </w:r>
      </w:hyperlink>
    </w:p>
    <w:p>
      <w:pPr>
        <w:numPr>
          <w:ilvl w:val="0"/>
          <w:numId w:val="3"/>
        </w:numPr>
        <w:shd w:val="clear" w:color="auto" w:fill="FFFFFF"/>
        <w:spacing w:before="100" w:beforeAutospacing="1" w:after="100" w:afterAutospacing="1" w:line="240" w:lineRule="auto"/>
        <w:rPr>
          <w:rFonts w:ascii="Segoe UI" w:eastAsia="Times New Roman" w:hAnsi="Segoe UI" w:cs="Segoe UI"/>
          <w:color w:val="0A2540"/>
          <w:lang w:eastAsia="en-GB"/>
        </w:rPr>
      </w:pPr>
      <w:hyperlink r:id="rId14" w:history="1">
        <w:r>
          <w:rPr>
            <w:rFonts w:ascii="Segoe UI" w:eastAsia="Times New Roman" w:hAnsi="Segoe UI" w:cs="Segoe UI"/>
            <w:color w:val="808080"/>
            <w:u w:val="single"/>
            <w:lang w:eastAsia="en-GB"/>
          </w:rPr>
          <w:t>child sexual exploitation(CSE)</w:t>
        </w:r>
      </w:hyperlink>
    </w:p>
    <w:p>
      <w:pPr>
        <w:numPr>
          <w:ilvl w:val="0"/>
          <w:numId w:val="3"/>
        </w:numPr>
        <w:shd w:val="clear" w:color="auto" w:fill="FFFFFF"/>
        <w:spacing w:before="100" w:beforeAutospacing="1" w:after="100" w:afterAutospacing="1" w:line="240" w:lineRule="auto"/>
        <w:rPr>
          <w:rFonts w:ascii="Segoe UI" w:eastAsia="Times New Roman" w:hAnsi="Segoe UI" w:cs="Segoe UI"/>
          <w:color w:val="0A2540"/>
          <w:lang w:eastAsia="en-GB"/>
        </w:rPr>
      </w:pPr>
      <w:hyperlink r:id="rId15" w:history="1">
        <w:r>
          <w:rPr>
            <w:rFonts w:ascii="Segoe UI" w:eastAsia="Times New Roman" w:hAnsi="Segoe UI" w:cs="Segoe UI"/>
            <w:color w:val="808080"/>
            <w:u w:val="single"/>
            <w:lang w:eastAsia="en-GB"/>
          </w:rPr>
          <w:t>bullying including cyber bullying</w:t>
        </w:r>
      </w:hyperlink>
    </w:p>
    <w:p>
      <w:pPr>
        <w:numPr>
          <w:ilvl w:val="0"/>
          <w:numId w:val="3"/>
        </w:numPr>
        <w:shd w:val="clear" w:color="auto" w:fill="FFFFFF"/>
        <w:spacing w:before="100" w:beforeAutospacing="1" w:after="100" w:afterAutospacing="1" w:line="240" w:lineRule="auto"/>
        <w:rPr>
          <w:rFonts w:ascii="Segoe UI" w:eastAsia="Times New Roman" w:hAnsi="Segoe UI" w:cs="Segoe UI"/>
          <w:color w:val="0A2540"/>
          <w:lang w:eastAsia="en-GB"/>
        </w:rPr>
      </w:pPr>
      <w:hyperlink r:id="rId16" w:history="1">
        <w:r>
          <w:rPr>
            <w:rFonts w:ascii="Segoe UI" w:eastAsia="Times New Roman" w:hAnsi="Segoe UI" w:cs="Segoe UI"/>
            <w:color w:val="808080"/>
            <w:u w:val="single"/>
            <w:lang w:eastAsia="en-GB"/>
          </w:rPr>
          <w:t>domestic violence</w:t>
        </w:r>
      </w:hyperlink>
    </w:p>
    <w:p>
      <w:pPr>
        <w:numPr>
          <w:ilvl w:val="0"/>
          <w:numId w:val="3"/>
        </w:numPr>
        <w:shd w:val="clear" w:color="auto" w:fill="FFFFFF"/>
        <w:spacing w:before="100" w:beforeAutospacing="1" w:after="100" w:afterAutospacing="1" w:line="240" w:lineRule="auto"/>
        <w:rPr>
          <w:rFonts w:ascii="Segoe UI" w:eastAsia="Times New Roman" w:hAnsi="Segoe UI" w:cs="Segoe UI"/>
          <w:color w:val="0A2540"/>
          <w:lang w:eastAsia="en-GB"/>
        </w:rPr>
      </w:pPr>
      <w:hyperlink r:id="rId17" w:history="1">
        <w:r>
          <w:rPr>
            <w:rFonts w:ascii="Segoe UI" w:eastAsia="Times New Roman" w:hAnsi="Segoe UI" w:cs="Segoe UI"/>
            <w:color w:val="808080"/>
            <w:u w:val="single"/>
            <w:lang w:eastAsia="en-GB"/>
          </w:rPr>
          <w:t>drugs</w:t>
        </w:r>
      </w:hyperlink>
    </w:p>
    <w:p>
      <w:pPr>
        <w:numPr>
          <w:ilvl w:val="0"/>
          <w:numId w:val="3"/>
        </w:numPr>
        <w:shd w:val="clear" w:color="auto" w:fill="FFFFFF"/>
        <w:spacing w:before="100" w:beforeAutospacing="1" w:after="100" w:afterAutospacing="1" w:line="240" w:lineRule="auto"/>
        <w:rPr>
          <w:rFonts w:ascii="Segoe UI" w:eastAsia="Times New Roman" w:hAnsi="Segoe UI" w:cs="Segoe UI"/>
          <w:color w:val="0A2540"/>
          <w:lang w:eastAsia="en-GB"/>
        </w:rPr>
      </w:pPr>
      <w:hyperlink r:id="rId18" w:history="1">
        <w:r>
          <w:rPr>
            <w:rFonts w:ascii="Segoe UI" w:eastAsia="Times New Roman" w:hAnsi="Segoe UI" w:cs="Segoe UI"/>
            <w:color w:val="808080"/>
            <w:u w:val="single"/>
            <w:lang w:eastAsia="en-GB"/>
          </w:rPr>
          <w:t>fabricated or induced illness</w:t>
        </w:r>
      </w:hyperlink>
    </w:p>
    <w:p>
      <w:pPr>
        <w:numPr>
          <w:ilvl w:val="0"/>
          <w:numId w:val="3"/>
        </w:numPr>
        <w:shd w:val="clear" w:color="auto" w:fill="FFFFFF"/>
        <w:spacing w:before="100" w:beforeAutospacing="1" w:after="100" w:afterAutospacing="1" w:line="240" w:lineRule="auto"/>
        <w:rPr>
          <w:rFonts w:ascii="Segoe UI" w:eastAsia="Times New Roman" w:hAnsi="Segoe UI" w:cs="Segoe UI"/>
          <w:color w:val="0A2540"/>
          <w:lang w:eastAsia="en-GB"/>
        </w:rPr>
      </w:pPr>
      <w:hyperlink r:id="rId19" w:history="1">
        <w:r>
          <w:rPr>
            <w:rFonts w:ascii="Segoe UI" w:eastAsia="Times New Roman" w:hAnsi="Segoe UI" w:cs="Segoe UI"/>
            <w:color w:val="808080"/>
            <w:u w:val="single"/>
            <w:lang w:eastAsia="en-GB"/>
          </w:rPr>
          <w:t>faith abuse</w:t>
        </w:r>
      </w:hyperlink>
    </w:p>
    <w:p>
      <w:pPr>
        <w:numPr>
          <w:ilvl w:val="0"/>
          <w:numId w:val="3"/>
        </w:numPr>
        <w:shd w:val="clear" w:color="auto" w:fill="FFFFFF"/>
        <w:spacing w:before="100" w:beforeAutospacing="1" w:after="100" w:afterAutospacing="1" w:line="240" w:lineRule="auto"/>
        <w:rPr>
          <w:rFonts w:ascii="Segoe UI" w:eastAsia="Times New Roman" w:hAnsi="Segoe UI" w:cs="Segoe UI"/>
          <w:color w:val="0A2540"/>
          <w:lang w:eastAsia="en-GB"/>
        </w:rPr>
      </w:pPr>
      <w:hyperlink r:id="rId20" w:history="1">
        <w:r>
          <w:rPr>
            <w:rFonts w:ascii="Segoe UI" w:eastAsia="Times New Roman" w:hAnsi="Segoe UI" w:cs="Segoe UI"/>
            <w:color w:val="808080"/>
            <w:u w:val="single"/>
            <w:lang w:eastAsia="en-GB"/>
          </w:rPr>
          <w:t>female genital mutilation(FGM)</w:t>
        </w:r>
      </w:hyperlink>
    </w:p>
    <w:p>
      <w:pPr>
        <w:numPr>
          <w:ilvl w:val="0"/>
          <w:numId w:val="3"/>
        </w:numPr>
        <w:shd w:val="clear" w:color="auto" w:fill="FFFFFF"/>
        <w:spacing w:before="100" w:beforeAutospacing="1" w:after="100" w:afterAutospacing="1" w:line="240" w:lineRule="auto"/>
        <w:rPr>
          <w:rFonts w:ascii="Segoe UI" w:eastAsia="Times New Roman" w:hAnsi="Segoe UI" w:cs="Segoe UI"/>
          <w:color w:val="0A2540"/>
          <w:lang w:eastAsia="en-GB"/>
        </w:rPr>
      </w:pPr>
      <w:hyperlink r:id="rId21" w:history="1">
        <w:r>
          <w:rPr>
            <w:rFonts w:ascii="Segoe UI" w:eastAsia="Times New Roman" w:hAnsi="Segoe UI" w:cs="Segoe UI"/>
            <w:color w:val="808080"/>
            <w:u w:val="single"/>
            <w:lang w:eastAsia="en-GB"/>
          </w:rPr>
          <w:t>forced marriage</w:t>
        </w:r>
      </w:hyperlink>
    </w:p>
    <w:p>
      <w:pPr>
        <w:numPr>
          <w:ilvl w:val="0"/>
          <w:numId w:val="3"/>
        </w:numPr>
        <w:shd w:val="clear" w:color="auto" w:fill="FFFFFF"/>
        <w:spacing w:before="100" w:beforeAutospacing="1" w:after="100" w:afterAutospacing="1" w:line="240" w:lineRule="auto"/>
        <w:rPr>
          <w:rFonts w:ascii="Segoe UI" w:eastAsia="Times New Roman" w:hAnsi="Segoe UI" w:cs="Segoe UI"/>
          <w:color w:val="0A2540"/>
          <w:lang w:eastAsia="en-GB"/>
        </w:rPr>
      </w:pPr>
      <w:hyperlink r:id="rId22" w:history="1">
        <w:r>
          <w:rPr>
            <w:rFonts w:ascii="Segoe UI" w:eastAsia="Times New Roman" w:hAnsi="Segoe UI" w:cs="Segoe UI"/>
            <w:color w:val="808080"/>
            <w:u w:val="single"/>
            <w:lang w:eastAsia="en-GB"/>
          </w:rPr>
          <w:t>gangs and youth violence</w:t>
        </w:r>
      </w:hyperlink>
    </w:p>
    <w:p>
      <w:pPr>
        <w:numPr>
          <w:ilvl w:val="0"/>
          <w:numId w:val="3"/>
        </w:numPr>
        <w:shd w:val="clear" w:color="auto" w:fill="FFFFFF"/>
        <w:spacing w:before="100" w:beforeAutospacing="1" w:after="100" w:afterAutospacing="1" w:line="240" w:lineRule="auto"/>
        <w:rPr>
          <w:rFonts w:ascii="Segoe UI" w:eastAsia="Times New Roman" w:hAnsi="Segoe UI" w:cs="Segoe UI"/>
          <w:color w:val="0A2540"/>
          <w:lang w:eastAsia="en-GB"/>
        </w:rPr>
      </w:pPr>
      <w:hyperlink r:id="rId23" w:history="1">
        <w:r>
          <w:rPr>
            <w:rFonts w:ascii="Segoe UI" w:eastAsia="Times New Roman" w:hAnsi="Segoe UI" w:cs="Segoe UI"/>
            <w:color w:val="808080"/>
            <w:u w:val="single"/>
            <w:lang w:eastAsia="en-GB"/>
          </w:rPr>
          <w:t>gender-based violence/violence against women and girls (VAWG)</w:t>
        </w:r>
      </w:hyperlink>
    </w:p>
    <w:p>
      <w:pPr>
        <w:numPr>
          <w:ilvl w:val="0"/>
          <w:numId w:val="3"/>
        </w:numPr>
        <w:shd w:val="clear" w:color="auto" w:fill="FFFFFF"/>
        <w:spacing w:before="100" w:beforeAutospacing="1" w:after="100" w:afterAutospacing="1" w:line="240" w:lineRule="auto"/>
        <w:rPr>
          <w:rFonts w:ascii="Segoe UI" w:eastAsia="Times New Roman" w:hAnsi="Segoe UI" w:cs="Segoe UI"/>
          <w:color w:val="0A2540"/>
          <w:lang w:eastAsia="en-GB"/>
        </w:rPr>
      </w:pPr>
      <w:hyperlink r:id="rId24" w:history="1">
        <w:r>
          <w:rPr>
            <w:rFonts w:ascii="Segoe UI" w:eastAsia="Times New Roman" w:hAnsi="Segoe UI" w:cs="Segoe UI"/>
            <w:color w:val="808080"/>
            <w:u w:val="single"/>
            <w:lang w:eastAsia="en-GB"/>
          </w:rPr>
          <w:t>mental health</w:t>
        </w:r>
      </w:hyperlink>
    </w:p>
    <w:p>
      <w:pPr>
        <w:numPr>
          <w:ilvl w:val="0"/>
          <w:numId w:val="3"/>
        </w:numPr>
        <w:shd w:val="clear" w:color="auto" w:fill="FFFFFF"/>
        <w:spacing w:before="100" w:beforeAutospacing="1" w:after="100" w:afterAutospacing="1" w:line="240" w:lineRule="auto"/>
        <w:rPr>
          <w:rFonts w:ascii="Segoe UI" w:eastAsia="Times New Roman" w:hAnsi="Segoe UI" w:cs="Segoe UI"/>
          <w:color w:val="0A2540"/>
          <w:lang w:eastAsia="en-GB"/>
        </w:rPr>
      </w:pPr>
      <w:hyperlink r:id="rId25" w:history="1">
        <w:r>
          <w:rPr>
            <w:rFonts w:ascii="Segoe UI" w:eastAsia="Times New Roman" w:hAnsi="Segoe UI" w:cs="Segoe UI"/>
            <w:color w:val="808080"/>
            <w:u w:val="single"/>
            <w:lang w:eastAsia="en-GB"/>
          </w:rPr>
          <w:t>private fostering</w:t>
        </w:r>
      </w:hyperlink>
    </w:p>
    <w:p>
      <w:pPr>
        <w:numPr>
          <w:ilvl w:val="0"/>
          <w:numId w:val="3"/>
        </w:numPr>
        <w:shd w:val="clear" w:color="auto" w:fill="FFFFFF"/>
        <w:spacing w:before="100" w:beforeAutospacing="1" w:after="100" w:afterAutospacing="1" w:line="240" w:lineRule="auto"/>
        <w:rPr>
          <w:rFonts w:ascii="Segoe UI" w:eastAsia="Times New Roman" w:hAnsi="Segoe UI" w:cs="Segoe UI"/>
          <w:color w:val="0A2540"/>
          <w:lang w:eastAsia="en-GB"/>
        </w:rPr>
      </w:pPr>
      <w:hyperlink r:id="rId26" w:history="1">
        <w:r>
          <w:rPr>
            <w:rFonts w:ascii="Segoe UI" w:eastAsia="Times New Roman" w:hAnsi="Segoe UI" w:cs="Segoe UI"/>
            <w:color w:val="808080"/>
            <w:u w:val="single"/>
            <w:lang w:eastAsia="en-GB"/>
          </w:rPr>
          <w:t>preventing radicalisation</w:t>
        </w:r>
      </w:hyperlink>
    </w:p>
    <w:p>
      <w:pPr>
        <w:numPr>
          <w:ilvl w:val="0"/>
          <w:numId w:val="3"/>
        </w:numPr>
        <w:shd w:val="clear" w:color="auto" w:fill="FFFFFF"/>
        <w:spacing w:before="100" w:beforeAutospacing="1" w:after="100" w:afterAutospacing="1" w:line="240" w:lineRule="auto"/>
        <w:rPr>
          <w:rFonts w:ascii="Segoe UI" w:eastAsia="Times New Roman" w:hAnsi="Segoe UI" w:cs="Segoe UI"/>
          <w:color w:val="0A2540"/>
          <w:lang w:eastAsia="en-GB"/>
        </w:rPr>
      </w:pPr>
      <w:hyperlink r:id="rId27" w:history="1">
        <w:r>
          <w:rPr>
            <w:rFonts w:ascii="Segoe UI" w:eastAsia="Times New Roman" w:hAnsi="Segoe UI" w:cs="Segoe UI"/>
            <w:color w:val="808080"/>
            <w:u w:val="single"/>
            <w:lang w:eastAsia="en-GB"/>
          </w:rPr>
          <w:t>youth-produced sexual images</w:t>
        </w:r>
      </w:hyperlink>
    </w:p>
    <w:p>
      <w:pPr>
        <w:numPr>
          <w:ilvl w:val="0"/>
          <w:numId w:val="3"/>
        </w:numPr>
        <w:shd w:val="clear" w:color="auto" w:fill="FFFFFF"/>
        <w:spacing w:before="100" w:beforeAutospacing="1" w:after="100" w:afterAutospacing="1" w:line="240" w:lineRule="auto"/>
        <w:rPr>
          <w:rFonts w:ascii="Segoe UI" w:eastAsia="Times New Roman" w:hAnsi="Segoe UI" w:cs="Segoe UI"/>
          <w:color w:val="0A2540"/>
          <w:lang w:eastAsia="en-GB"/>
        </w:rPr>
      </w:pPr>
      <w:hyperlink r:id="rId28" w:history="1">
        <w:r>
          <w:rPr>
            <w:rFonts w:ascii="Segoe UI" w:eastAsia="Times New Roman" w:hAnsi="Segoe UI" w:cs="Segoe UI"/>
            <w:color w:val="808080"/>
            <w:u w:val="single"/>
            <w:lang w:eastAsia="en-GB"/>
          </w:rPr>
          <w:t>teenage relationship abuse</w:t>
        </w:r>
      </w:hyperlink>
    </w:p>
    <w:p>
      <w:pPr>
        <w:numPr>
          <w:ilvl w:val="0"/>
          <w:numId w:val="3"/>
        </w:numPr>
        <w:shd w:val="clear" w:color="auto" w:fill="FFFFFF"/>
        <w:spacing w:before="100" w:beforeAutospacing="1" w:after="100" w:afterAutospacing="1" w:line="240" w:lineRule="auto"/>
        <w:rPr>
          <w:rFonts w:ascii="Segoe UI" w:eastAsia="Times New Roman" w:hAnsi="Segoe UI" w:cs="Segoe UI"/>
          <w:color w:val="0A2540"/>
          <w:lang w:eastAsia="en-GB"/>
        </w:rPr>
      </w:pPr>
      <w:hyperlink r:id="rId29" w:history="1">
        <w:r>
          <w:rPr>
            <w:rFonts w:ascii="Segoe UI" w:eastAsia="Times New Roman" w:hAnsi="Segoe UI" w:cs="Segoe UI"/>
            <w:color w:val="808080"/>
            <w:u w:val="single"/>
            <w:lang w:eastAsia="en-GB"/>
          </w:rPr>
          <w:t>trafficking</w:t>
        </w:r>
      </w:hyperlink>
    </w:p>
    <w:p>
      <w:pPr>
        <w:shd w:val="clear" w:color="auto" w:fill="FFFFFF"/>
        <w:spacing w:before="225" w:after="225" w:line="240" w:lineRule="auto"/>
        <w:jc w:val="both"/>
        <w:rPr>
          <w:rFonts w:ascii="Segoe UI" w:eastAsia="Times New Roman" w:hAnsi="Segoe UI" w:cs="Segoe UI"/>
          <w:color w:val="0A2540"/>
          <w:lang w:eastAsia="en-GB"/>
        </w:rPr>
      </w:pPr>
      <w:r>
        <w:rPr>
          <w:rFonts w:ascii="Segoe UI" w:eastAsia="Times New Roman" w:hAnsi="Segoe UI" w:cs="Segoe UI"/>
          <w:b/>
          <w:bCs/>
          <w:color w:val="0A2540"/>
          <w:lang w:eastAsia="en-GB"/>
        </w:rPr>
        <w:t>Child on Child Abuse Including Sexual Harassment and Violence</w:t>
      </w:r>
    </w:p>
    <w:p>
      <w:pPr>
        <w:shd w:val="clear" w:color="auto" w:fill="FFFFFF"/>
        <w:spacing w:before="225" w:after="225" w:line="240" w:lineRule="auto"/>
        <w:jc w:val="both"/>
        <w:rPr>
          <w:rFonts w:ascii="Segoe UI" w:eastAsia="Times New Roman" w:hAnsi="Segoe UI" w:cs="Segoe UI"/>
          <w:color w:val="0A2540"/>
          <w:lang w:eastAsia="en-GB"/>
        </w:rPr>
      </w:pPr>
      <w:r>
        <w:rPr>
          <w:rFonts w:ascii="Segoe UI" w:eastAsia="Times New Roman" w:hAnsi="Segoe UI" w:cs="Segoe UI"/>
          <w:color w:val="0A2540"/>
          <w:lang w:eastAsia="en-GB"/>
        </w:rPr>
        <w:t>At Moorbrook School we have a culture of safeguarding. We do not tolerate any form of sexual harassment or violence. As per government guidance in 'Keeping Children Safe In Education 2022', the school works on the assumption that sexual harassment and violence ‘could happen here' and insists that no member of our community ever treats sexual violence or harassment as 'banter' or 'a part of growing up'.</w:t>
      </w:r>
    </w:p>
    <w:p>
      <w:pPr>
        <w:shd w:val="clear" w:color="auto" w:fill="FFFFFF"/>
        <w:spacing w:before="225" w:after="225" w:line="240" w:lineRule="auto"/>
        <w:jc w:val="both"/>
        <w:rPr>
          <w:rFonts w:ascii="Segoe UI" w:eastAsia="Times New Roman" w:hAnsi="Segoe UI" w:cs="Segoe UI"/>
          <w:color w:val="0A2540"/>
          <w:lang w:eastAsia="en-GB"/>
        </w:rPr>
      </w:pPr>
      <w:r>
        <w:rPr>
          <w:rFonts w:ascii="Segoe UI" w:eastAsia="Times New Roman" w:hAnsi="Segoe UI" w:cs="Segoe UI"/>
          <w:color w:val="0A2540"/>
          <w:lang w:eastAsia="en-GB"/>
        </w:rPr>
        <w:t>In order to ensure our culture of safeguarding is consistent and embedded throughout, the school puts a series of proactive measures in place to reduce the risk of such incidents. Along with regular reinforcement, together with staff and student training and consistency, the key strategy is education. Specifically, of appropriate behaviour through our PSHE/RSE and assembly programmes.</w:t>
      </w:r>
    </w:p>
    <w:p>
      <w:pPr>
        <w:shd w:val="clear" w:color="auto" w:fill="FFFFFF"/>
        <w:spacing w:before="225" w:after="225" w:line="240" w:lineRule="auto"/>
        <w:jc w:val="both"/>
        <w:rPr>
          <w:rFonts w:ascii="Segoe UI" w:eastAsia="Times New Roman" w:hAnsi="Segoe UI" w:cs="Segoe UI"/>
          <w:color w:val="0A2540"/>
          <w:lang w:eastAsia="en-GB"/>
        </w:rPr>
      </w:pPr>
      <w:r>
        <w:rPr>
          <w:rFonts w:ascii="Segoe UI" w:eastAsia="Times New Roman" w:hAnsi="Segoe UI" w:cs="Segoe UI"/>
          <w:color w:val="0A2540"/>
          <w:lang w:eastAsia="en-GB"/>
        </w:rPr>
        <w:t>The school also ensures that staff and students are trained to ensure they can recognise potential signs of abuse and how to report them. We educate students to understand that sexual harassment may appear in many forms and all members of our community have a duty to report any possible sign of sexual harassment or violence.</w:t>
      </w:r>
    </w:p>
    <w:p>
      <w:pPr>
        <w:shd w:val="clear" w:color="auto" w:fill="FFFFFF"/>
        <w:spacing w:before="225" w:after="225" w:line="240" w:lineRule="auto"/>
        <w:jc w:val="both"/>
        <w:rPr>
          <w:rFonts w:ascii="Segoe UI" w:eastAsia="Times New Roman" w:hAnsi="Segoe UI" w:cs="Segoe UI"/>
          <w:color w:val="0A2540"/>
          <w:lang w:eastAsia="en-GB"/>
        </w:rPr>
      </w:pPr>
      <w:r>
        <w:rPr>
          <w:rFonts w:ascii="Segoe UI" w:eastAsia="Times New Roman" w:hAnsi="Segoe UI" w:cs="Segoe UI"/>
          <w:color w:val="0A2540"/>
          <w:lang w:eastAsia="en-GB"/>
        </w:rPr>
        <w:t xml:space="preserve">If the school is made aware of an alleged incident of sexual harassment or violence we will take every step to ensure the student making the disclosure feels supported. </w:t>
      </w:r>
    </w:p>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EF7503"/>
    <w:multiLevelType w:val="multilevel"/>
    <w:tmpl w:val="8DEE7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312E65"/>
    <w:multiLevelType w:val="multilevel"/>
    <w:tmpl w:val="28F0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0B534A"/>
    <w:multiLevelType w:val="multilevel"/>
    <w:tmpl w:val="17602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9146AC-4E94-433D-A4A6-904D35813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t4ke">
    <w:name w:val="cdt4ke"/>
    <w:basedOn w:val="Normal"/>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720141">
      <w:bodyDiv w:val="1"/>
      <w:marLeft w:val="0"/>
      <w:marRight w:val="0"/>
      <w:marTop w:val="0"/>
      <w:marBottom w:val="0"/>
      <w:divBdr>
        <w:top w:val="none" w:sz="0" w:space="0" w:color="auto"/>
        <w:left w:val="none" w:sz="0" w:space="0" w:color="auto"/>
        <w:bottom w:val="none" w:sz="0" w:space="0" w:color="auto"/>
        <w:right w:val="none" w:sz="0" w:space="0" w:color="auto"/>
      </w:divBdr>
    </w:div>
    <w:div w:id="1109472430">
      <w:bodyDiv w:val="1"/>
      <w:marLeft w:val="0"/>
      <w:marRight w:val="0"/>
      <w:marTop w:val="0"/>
      <w:marBottom w:val="0"/>
      <w:divBdr>
        <w:top w:val="none" w:sz="0" w:space="0" w:color="auto"/>
        <w:left w:val="none" w:sz="0" w:space="0" w:color="auto"/>
        <w:bottom w:val="none" w:sz="0" w:space="0" w:color="auto"/>
        <w:right w:val="none" w:sz="0" w:space="0" w:color="auto"/>
      </w:divBdr>
      <w:divsChild>
        <w:div w:id="1962223804">
          <w:marLeft w:val="0"/>
          <w:marRight w:val="0"/>
          <w:marTop w:val="0"/>
          <w:marBottom w:val="0"/>
          <w:divBdr>
            <w:top w:val="none" w:sz="0" w:space="0" w:color="auto"/>
            <w:left w:val="none" w:sz="0" w:space="0" w:color="auto"/>
            <w:bottom w:val="none" w:sz="0" w:space="0" w:color="auto"/>
            <w:right w:val="none" w:sz="0" w:space="0" w:color="auto"/>
          </w:divBdr>
        </w:div>
        <w:div w:id="915940177">
          <w:marLeft w:val="0"/>
          <w:marRight w:val="0"/>
          <w:marTop w:val="0"/>
          <w:marBottom w:val="0"/>
          <w:divBdr>
            <w:top w:val="none" w:sz="0" w:space="0" w:color="auto"/>
            <w:left w:val="none" w:sz="0" w:space="0" w:color="auto"/>
            <w:bottom w:val="none" w:sz="0" w:space="0" w:color="auto"/>
            <w:right w:val="none" w:sz="0" w:space="0" w:color="auto"/>
          </w:divBdr>
        </w:div>
        <w:div w:id="1596595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ueenelizabethshs.schoolzineplus.co.uk/_file/media/4101/prevent_risk_assessment.pdf" TargetMode="External"/><Relationship Id="rId13" Type="http://schemas.openxmlformats.org/officeDocument/2006/relationships/hyperlink" Target="https://www.gov.uk/government/publications/children-who-run-away-or-go-missing-from-home-or-care" TargetMode="External"/><Relationship Id="rId18" Type="http://schemas.openxmlformats.org/officeDocument/2006/relationships/hyperlink" Target="https://www.gov.uk/government/publications/safeguarding-children-in-whom-illness-is-fabricated-or-induced" TargetMode="External"/><Relationship Id="rId26" Type="http://schemas.openxmlformats.org/officeDocument/2006/relationships/hyperlink" Target="https://www.gov.uk/government/publications/channel-guidance" TargetMode="External"/><Relationship Id="rId3" Type="http://schemas.openxmlformats.org/officeDocument/2006/relationships/settings" Target="settings.xml"/><Relationship Id="rId21" Type="http://schemas.openxmlformats.org/officeDocument/2006/relationships/hyperlink" Target="https://www.gov.uk/forced-marriage" TargetMode="External"/><Relationship Id="rId7" Type="http://schemas.openxmlformats.org/officeDocument/2006/relationships/hyperlink" Target="https://www.gov.uk/government/publications/prevent-strategy-2011" TargetMode="External"/><Relationship Id="rId12" Type="http://schemas.openxmlformats.org/officeDocument/2006/relationships/hyperlink" Target="https://www.gov.uk/government/publications/children-missing-education" TargetMode="External"/><Relationship Id="rId17" Type="http://schemas.openxmlformats.org/officeDocument/2006/relationships/hyperlink" Target="https://www.gov.uk/government/publications/drugs-advice-for-schools" TargetMode="External"/><Relationship Id="rId25" Type="http://schemas.openxmlformats.org/officeDocument/2006/relationships/hyperlink" Target="https://www.gov.uk/government/publications/children-act-1989-private-fostering" TargetMode="External"/><Relationship Id="rId2" Type="http://schemas.openxmlformats.org/officeDocument/2006/relationships/styles" Target="styles.xml"/><Relationship Id="rId16" Type="http://schemas.openxmlformats.org/officeDocument/2006/relationships/hyperlink" Target="https://www.gov.uk/domestic-violence-and-abuse" TargetMode="External"/><Relationship Id="rId20" Type="http://schemas.openxmlformats.org/officeDocument/2006/relationships/hyperlink" Target="https://www.gov.uk/government/publications/female-genital-mutilation-guidelines" TargetMode="External"/><Relationship Id="rId29" Type="http://schemas.openxmlformats.org/officeDocument/2006/relationships/hyperlink" Target="https://www.gov.uk/government/publications/safeguarding-children-who-may-have-been-trafficked-practice-guidance" TargetMode="External"/><Relationship Id="rId1" Type="http://schemas.openxmlformats.org/officeDocument/2006/relationships/numbering" Target="numbering.xml"/><Relationship Id="rId6" Type="http://schemas.openxmlformats.org/officeDocument/2006/relationships/hyperlink" Target="http://www.preventforschools.org/" TargetMode="External"/><Relationship Id="rId11" Type="http://schemas.openxmlformats.org/officeDocument/2006/relationships/hyperlink" Target="https://www.gov.uk/topic/schools-colleges-childrens-services/safeguarding-children" TargetMode="External"/><Relationship Id="rId24" Type="http://schemas.openxmlformats.org/officeDocument/2006/relationships/hyperlink" Target="https://www.gov.uk/government/publications/the-mental-health-strategy-for-england" TargetMode="External"/><Relationship Id="rId5" Type="http://schemas.openxmlformats.org/officeDocument/2006/relationships/hyperlink" Target="https://www.gov.uk/government/publications/keeping-children-safe-in-education--2" TargetMode="External"/><Relationship Id="rId15" Type="http://schemas.openxmlformats.org/officeDocument/2006/relationships/hyperlink" Target="https://www.gov.uk/government/publications/preventing-and-tackling-bullying" TargetMode="External"/><Relationship Id="rId23" Type="http://schemas.openxmlformats.org/officeDocument/2006/relationships/hyperlink" Target="https://www.gov.uk/government/policies/ending-violence-against-women-and-girls-in-the-uk" TargetMode="External"/><Relationship Id="rId28" Type="http://schemas.openxmlformats.org/officeDocument/2006/relationships/hyperlink" Target="https://www.gov.uk/government/collections/this-is-abuse-campaign" TargetMode="External"/><Relationship Id="rId10" Type="http://schemas.openxmlformats.org/officeDocument/2006/relationships/hyperlink" Target="https://www.nspcc.org.uk/" TargetMode="External"/><Relationship Id="rId19" Type="http://schemas.openxmlformats.org/officeDocument/2006/relationships/hyperlink" Target="https://www.gov.uk/government/publications/national-action-plan-to-tackle-child-abuse-linked-to-faith-or-belie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spcc.org.uk/preventing-abuse/child-abuse-and-neglect/child-sexual-exploitation/" TargetMode="External"/><Relationship Id="rId14" Type="http://schemas.openxmlformats.org/officeDocument/2006/relationships/hyperlink" Target="https://www.gov.uk/government/publications/what-to-do-if-you-suspect-a-child-is-being-sexually-exploited" TargetMode="External"/><Relationship Id="rId22" Type="http://schemas.openxmlformats.org/officeDocument/2006/relationships/hyperlink" Target="https://www.gov.uk/government/publications/advice-to-schools-and-colleges-on-gangs-and-youth-violence" TargetMode="External"/><Relationship Id="rId27" Type="http://schemas.openxmlformats.org/officeDocument/2006/relationships/hyperlink" Target="https://www.thinkuknow.co.uk/14_plus/need-advice/selfies-and-sextin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1419</Words>
  <Characters>8089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Maddoxs</dc:creator>
  <cp:keywords/>
  <dc:description/>
  <cp:lastModifiedBy>Hargreaves, Deborah</cp:lastModifiedBy>
  <cp:revision>2</cp:revision>
  <dcterms:created xsi:type="dcterms:W3CDTF">2023-05-09T16:24:00Z</dcterms:created>
  <dcterms:modified xsi:type="dcterms:W3CDTF">2023-05-09T16:24:00Z</dcterms:modified>
</cp:coreProperties>
</file>